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2B4" w:rsidRPr="003A0B4B" w:rsidRDefault="002F12B4" w:rsidP="002F12B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Утвержден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постановлением акимата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от 22 октября 2015 года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№ 453           </w:t>
      </w:r>
    </w:p>
    <w:p w:rsidR="002F12B4" w:rsidRPr="003A0B4B" w:rsidRDefault="002F12B4" w:rsidP="002F1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t>Регламент государственной услуги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«Прием документов и выдача направлений на предоставление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отдыха детям из малообеспеченных семей в загородных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и пришкольных лагерях»</w:t>
      </w:r>
    </w:p>
    <w:p w:rsidR="002F12B4" w:rsidRPr="003A0B4B" w:rsidRDefault="002F12B4" w:rsidP="002F12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2F12B4" w:rsidRPr="003A0B4B" w:rsidRDefault="002F12B4" w:rsidP="002F1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>      1. Государственная услуга «Прием документов и выдача направлений на предоставление отдыха детям из малообеспеченных семей в загородных и пришкольных лагерях» (далее – государственная услуга) оказывается управлением образования акимата Костанайской области, отделами образования районов, городов, организациями образования (далее – услугодатель).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заявлений и выдача результатов оказания государственной услуги осуществляется канцелярией услугодателя.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85"/>
      <w:bookmarkEnd w:id="0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2. Форма оказываемой государственной услуги: бумажная.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86"/>
      <w:bookmarkEnd w:id="1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3. Результат оказания государственной услуги - направление (путевка) в загородные и пришкольные лагеря.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 – бумажная.</w:t>
      </w:r>
    </w:p>
    <w:p w:rsidR="002F12B4" w:rsidRPr="003A0B4B" w:rsidRDefault="002F12B4" w:rsidP="002F12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2. Описание порядка действий структурных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подразделений (работников) услугодателя в процессе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оказания государственной услуги</w:t>
      </w:r>
    </w:p>
    <w:p w:rsidR="002F12B4" w:rsidRPr="003A0B4B" w:rsidRDefault="002F12B4" w:rsidP="002F1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4.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(действия) по оказанию государственной услуги является принятие услугодателем заявления и документов (далее – пакет документов), указанных в </w:t>
      </w:r>
      <w:hyperlink r:id="rId4" w:anchor="z325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9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стандарта государственной услуги «Прием документов и выдача направлений на предоставление отдыха детям из малообеспеченных семей в загородных и пришкольных лагерях», утвержденного </w:t>
      </w:r>
      <w:hyperlink r:id="rId5" w:anchor="z1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13 апреля 2015 года № 198 «Об утверждении стандартов государственных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услуг, оказываемых в сфере семьи и детей» (далее - Стандарт).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89"/>
      <w:bookmarkEnd w:id="2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сотрудник канцелярии услугодателя осуществляет прием и регистрацию пакета документов, передает руководителю услугодателя, 15 (пятнадцать) минут.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Результат процедуры (действия) – прием пакета документов;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2) руководитель услугодателя определяет ответственного исполнителя, налагает соответствующую визу, передает ответственному исполнителю услугодателя, 2 (два) часа.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- виза руководителя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3) ответственный исполнитель услугодателя изучает пакет документов, подготавливает проект результата оказания государственной услуги, передает руководителю услугодателя, 13 (тринадцать) рабочих дней.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проект результата оказания государственной услуги;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4) руководитель услугодателя подписывает проект результата оказания государственной услуги, передает сотруднику канцелярии услугодателя, 1 (один) рабочий день.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процедуры (действия) - подписанный результат оказания государственной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lastRenderedPageBreak/>
        <w:t>услуги;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5) сотрудник канцелярии услугодателя выдает результат оказания государственной услуги услугополучателю, 15 (пятнадцать) минут.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выданный результат оказания государственной услуги.</w:t>
      </w:r>
    </w:p>
    <w:p w:rsidR="002F12B4" w:rsidRPr="003A0B4B" w:rsidRDefault="002F12B4" w:rsidP="002F12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3. Описание порядка взаимодействия структурных подразделений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(работников) в процессе оказания государственной услуги</w:t>
      </w:r>
    </w:p>
    <w:p w:rsidR="002F12B4" w:rsidRPr="003A0B4B" w:rsidRDefault="002F12B4" w:rsidP="002F1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      6.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Перечень структурных подразделений, (работников) услугодателя, которые участвуют в процессе оказания государственной услуги: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сотрудник канцелярии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2) руководитель услугодателя;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3) ответственный исполнитель услугодателя.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92"/>
      <w:bookmarkEnd w:id="3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7.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1) сотрудник канцелярии услугодателя осуществляет прием и регистрацию пакета документов, передает руководителю услугодателя, 15 (пятнадцать) минут;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2) руководитель услугодателя определяет ответственного исполнителя, налагает соответствующую визу, передает ответственному исполнителю услугодателя, 2 (два) часа;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3A0B4B">
        <w:rPr>
          <w:rFonts w:ascii="Times New Roman" w:eastAsia="Times New Roman" w:hAnsi="Times New Roman" w:cs="Times New Roman"/>
          <w:sz w:val="24"/>
          <w:szCs w:val="24"/>
        </w:rPr>
        <w:t>3) ответственный исполнитель услугодателя изучает пакет документов, подготавливает проект результата оказания государственной услуги, передает руководителю услугодателя, 13 (тринадцать) рабочих дней;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4) руководитель услугодателя подписывает проект результата оказания государственной услуги, передает сотруднику канцелярии услугодателя, 1 (один) рабочий день;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>      5) сотрудник канцелярии услугодателя выдает результат оказания государственной услуги услугополучателю, 15 (пятнадцать) минут.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93"/>
      <w:bookmarkEnd w:id="4"/>
      <w:r w:rsidRPr="003A0B4B">
        <w:rPr>
          <w:rFonts w:ascii="Times New Roman" w:eastAsia="Times New Roman" w:hAnsi="Times New Roman" w:cs="Times New Roman"/>
          <w:sz w:val="24"/>
          <w:szCs w:val="24"/>
        </w:rPr>
        <w:t>      8.</w:t>
      </w:r>
      <w:proofErr w:type="gramEnd"/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Подробное описание последовательности процедур (действий), взаимодействий структурных подразделений (работников) услугодателя в процессе оказания государственной услуги, а также описание порядка взаимодействия с иными услугодателями и (или) центром обслуживания населения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 </w:t>
      </w:r>
      <w:hyperlink r:id="rId6" w:anchor="z196" w:history="1">
        <w:r w:rsidRPr="003A0B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</w:t>
        </w:r>
      </w:hyperlink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Регламенту.</w:t>
      </w:r>
    </w:p>
    <w:p w:rsidR="002F12B4" w:rsidRPr="003A0B4B" w:rsidRDefault="002F12B4" w:rsidP="002F12B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t>4. Описание порядка взаимодействия с центром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обслуживания населения и (или) иными услугодателями,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также порядка использования информационных систем</w:t>
      </w:r>
      <w:r w:rsidRPr="003A0B4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 процессе оказания государственной услуги</w:t>
      </w:r>
    </w:p>
    <w:p w:rsidR="002F12B4" w:rsidRPr="003A0B4B" w:rsidRDefault="002F12B4" w:rsidP="002F1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>      9. Государственная услуга через филиал Республиканского государственного предприятия «Центр обслуживания населения» по Костанайской области и веб-портал «электронного правительства» не оказывается.</w:t>
      </w:r>
    </w:p>
    <w:p w:rsidR="002F12B4" w:rsidRPr="003A0B4B" w:rsidRDefault="002F12B4" w:rsidP="002F12B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 xml:space="preserve">Приложение           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к Регламенту государственной услуги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«Прием документов и выдача направлений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на предоставление отдыха детям из 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малообеспеченных семей в загородных   </w:t>
      </w:r>
      <w:r w:rsidRPr="003A0B4B">
        <w:rPr>
          <w:rFonts w:ascii="Times New Roman" w:eastAsia="Times New Roman" w:hAnsi="Times New Roman" w:cs="Times New Roman"/>
          <w:sz w:val="24"/>
          <w:szCs w:val="24"/>
        </w:rPr>
        <w:br/>
        <w:t xml:space="preserve">и пришкольных лагерях»          </w:t>
      </w:r>
    </w:p>
    <w:p w:rsidR="002F12B4" w:rsidRPr="003A0B4B" w:rsidRDefault="002F12B4" w:rsidP="002F1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Справочник бизнес-процессов оказания государственной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услуги «Прием документов и выдача направлений на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предоставление отдыха детям из малообеспеченных семей</w:t>
      </w:r>
      <w:r w:rsidRPr="003A0B4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в загородных и пришкольных лагерях»</w:t>
      </w:r>
    </w:p>
    <w:p w:rsidR="002F12B4" w:rsidRPr="003A0B4B" w:rsidRDefault="002F12B4" w:rsidP="002F1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743200"/>
            <wp:effectExtent l="19050" t="0" r="0" b="0"/>
            <wp:docPr id="35" name="Рисунок 35" descr="http://adilet.zan.kz/files/0643/76/608%D1%8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adilet.zan.kz/files/0643/76/608%D1%803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2B4" w:rsidRPr="003A0B4B" w:rsidRDefault="002F12B4" w:rsidP="002F1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0B4B">
        <w:rPr>
          <w:rFonts w:ascii="Times New Roman" w:eastAsia="Times New Roman" w:hAnsi="Times New Roman" w:cs="Times New Roman"/>
          <w:sz w:val="24"/>
          <w:szCs w:val="24"/>
        </w:rPr>
        <w:t>Условные обозначения</w:t>
      </w:r>
    </w:p>
    <w:p w:rsidR="002F12B4" w:rsidRPr="003A0B4B" w:rsidRDefault="002F12B4" w:rsidP="002F1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876550"/>
            <wp:effectExtent l="19050" t="0" r="0" b="0"/>
            <wp:docPr id="36" name="Рисунок 36" descr="http://adilet.zan.kz/files/0643/76/608%D1%8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adilet.zan.kz/files/0643/76/608%D1%803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2B4" w:rsidRDefault="002F12B4" w:rsidP="002F12B4"/>
    <w:p w:rsidR="0063053B" w:rsidRDefault="0063053B"/>
    <w:sectPr w:rsidR="0063053B" w:rsidSect="009E4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F12B4"/>
    <w:rsid w:val="002F12B4"/>
    <w:rsid w:val="0063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N0006008" TargetMode="External"/><Relationship Id="rId5" Type="http://schemas.openxmlformats.org/officeDocument/2006/relationships/hyperlink" Target="http://adilet.zan.kz/rus/docs/V150001118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V150001118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2015-12-10T05:40:00Z</dcterms:created>
  <dcterms:modified xsi:type="dcterms:W3CDTF">2015-12-10T05:40:00Z</dcterms:modified>
</cp:coreProperties>
</file>